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E" w:rsidRPr="00C20784" w:rsidRDefault="0008528E" w:rsidP="0008528E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8528E" w:rsidRDefault="0008528E" w:rsidP="0008528E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08528E" w:rsidRDefault="0008528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</w:p>
    <w:p w:rsidR="0033622E" w:rsidRPr="00471E33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val="en-US" w:eastAsia="uk-UA"/>
        </w:rPr>
      </w:pPr>
      <w:r w:rsidRPr="00264537">
        <w:rPr>
          <w:b/>
          <w:sz w:val="24"/>
          <w:szCs w:val="24"/>
          <w:lang w:eastAsia="uk-UA"/>
        </w:rPr>
        <w:t>ІНФОРМАЦІЙНА КАРТКА</w:t>
      </w:r>
      <w:r w:rsidR="00A21842">
        <w:rPr>
          <w:b/>
          <w:sz w:val="24"/>
          <w:szCs w:val="24"/>
          <w:lang w:eastAsia="uk-UA"/>
        </w:rPr>
        <w:t xml:space="preserve"> </w:t>
      </w:r>
      <w:r w:rsidR="00A21842" w:rsidRPr="00A21842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471E33">
        <w:rPr>
          <w:b/>
          <w:sz w:val="24"/>
          <w:szCs w:val="24"/>
          <w:lang w:val="en-US" w:eastAsia="uk-UA"/>
        </w:rPr>
        <w:t>05-12</w:t>
      </w:r>
      <w:bookmarkEnd w:id="0"/>
    </w:p>
    <w:p w:rsidR="00F03E60" w:rsidRPr="00BA1223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 </w:t>
      </w:r>
      <w:r w:rsidR="0013382C" w:rsidRPr="00BA1223">
        <w:rPr>
          <w:b/>
          <w:sz w:val="24"/>
          <w:szCs w:val="24"/>
          <w:lang w:eastAsia="uk-UA"/>
        </w:rPr>
        <w:t>переходу</w:t>
      </w:r>
      <w:r w:rsidR="001301A7" w:rsidRPr="00BA1223">
        <w:rPr>
          <w:b/>
          <w:sz w:val="24"/>
          <w:szCs w:val="24"/>
          <w:lang w:eastAsia="uk-UA"/>
        </w:rPr>
        <w:t xml:space="preserve"> 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  <w:r w:rsidR="001301A7"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08528E" w:rsidRDefault="0008528E" w:rsidP="0008528E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08528E" w:rsidRPr="009014D1" w:rsidRDefault="0008528E" w:rsidP="0008528E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1"/>
        <w:gridCol w:w="84"/>
        <w:gridCol w:w="6809"/>
        <w:gridCol w:w="30"/>
      </w:tblGrid>
      <w:tr w:rsidR="00BA1223" w:rsidRPr="00BA1223" w:rsidTr="008D01B3">
        <w:trPr>
          <w:gridAfter w:val="1"/>
          <w:wAfter w:w="24" w:type="pct"/>
        </w:trPr>
        <w:tc>
          <w:tcPr>
            <w:tcW w:w="49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8F5A1B" w:rsidP="008F5A1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A1B" w:rsidRPr="001617D4" w:rsidRDefault="008F5A1B" w:rsidP="008F5A1B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8F5A1B" w:rsidRPr="001617D4" w:rsidRDefault="008F5A1B" w:rsidP="008F5A1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EB39B2" w:rsidRPr="00BA1223" w:rsidRDefault="00EB39B2" w:rsidP="000852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A1B" w:rsidRPr="005E0DAC" w:rsidRDefault="008F5A1B" w:rsidP="008F5A1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2B6161">
              <w:rPr>
                <w:sz w:val="24"/>
                <w:szCs w:val="24"/>
                <w:lang w:eastAsia="uk-UA"/>
              </w:rPr>
              <w:t>093-332-46-15</w:t>
            </w:r>
          </w:p>
          <w:p w:rsidR="008F5A1B" w:rsidRPr="005E0DAC" w:rsidRDefault="008F5A1B" w:rsidP="008F5A1B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8F5A1B" w:rsidRPr="005E0DAC" w:rsidRDefault="008F5A1B" w:rsidP="008F5A1B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7" w:history="1">
              <w:r w:rsidRPr="005E0DAC">
                <w:rPr>
                  <w:rStyle w:val="a9"/>
                  <w:sz w:val="24"/>
                  <w:szCs w:val="24"/>
                </w:rPr>
                <w:t>https://pidgorodne.otg.dp.gov.ua/ua/cnap</w:t>
              </w:r>
            </w:hyperlink>
          </w:p>
          <w:p w:rsidR="00EB39B2" w:rsidRPr="00BA1223" w:rsidRDefault="008F5A1B" w:rsidP="008F5A1B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BA1223" w:rsidRPr="00BA1223" w:rsidTr="008D01B3">
        <w:trPr>
          <w:gridAfter w:val="1"/>
          <w:wAfter w:w="24" w:type="pct"/>
        </w:trPr>
        <w:tc>
          <w:tcPr>
            <w:tcW w:w="49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8D01B3">
        <w:trPr>
          <w:gridAfter w:val="1"/>
          <w:wAfter w:w="24" w:type="pct"/>
        </w:trPr>
        <w:tc>
          <w:tcPr>
            <w:tcW w:w="49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 w:rsidR="005D4989"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485697" w:rsidRPr="00690F3A" w:rsidRDefault="00485697" w:rsidP="0048569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654B4" w:rsidRDefault="0048569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906C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264537">
              <w:rPr>
                <w:sz w:val="24"/>
                <w:szCs w:val="24"/>
                <w:lang w:eastAsia="uk-UA"/>
              </w:rPr>
              <w:t>.</w:t>
            </w:r>
          </w:p>
          <w:p w:rsidR="00C06307" w:rsidRPr="00BA1223" w:rsidRDefault="00C0630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  <w:r w:rsidR="0002572B">
              <w:rPr>
                <w:sz w:val="24"/>
                <w:szCs w:val="24"/>
              </w:rPr>
              <w:t>*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C06307" w:rsidRPr="00264537" w:rsidRDefault="00C06307" w:rsidP="00C0630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F3732">
              <w:rPr>
                <w:sz w:val="24"/>
                <w:szCs w:val="24"/>
                <w:lang w:eastAsia="uk-UA"/>
              </w:rPr>
              <w:t>;</w:t>
            </w:r>
          </w:p>
          <w:p w:rsidR="000F3732" w:rsidRPr="00F20F4A" w:rsidRDefault="000F3732" w:rsidP="000F3732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F20F4A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C76A8">
              <w:rPr>
                <w:color w:val="000000" w:themeColor="text1"/>
              </w:rPr>
              <w:t>»</w:t>
            </w:r>
            <w:r w:rsidRPr="00F20F4A">
              <w:rPr>
                <w:color w:val="000000" w:themeColor="text1"/>
              </w:rPr>
              <w:t>;</w:t>
            </w:r>
          </w:p>
          <w:p w:rsidR="000F3732" w:rsidRPr="00BA1223" w:rsidRDefault="000F3732" w:rsidP="000F373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C76A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C06307" w:rsidRPr="00BA1223" w:rsidRDefault="00333E15" w:rsidP="000F3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За бажанням заявника з Єдиного державного реєстру </w:t>
            </w:r>
            <w:r w:rsidRPr="00BA1223">
              <w:rPr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="0002572B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12" w:name="n43"/>
      <w:bookmarkEnd w:id="12"/>
      <w:r w:rsidRPr="00BA1223">
        <w:rPr>
          <w:sz w:val="6"/>
          <w:szCs w:val="6"/>
        </w:rPr>
        <w:lastRenderedPageBreak/>
        <w:t>________________________</w:t>
      </w:r>
    </w:p>
    <w:p w:rsidR="0002572B" w:rsidRDefault="0002572B" w:rsidP="0002572B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формі;</w:t>
      </w:r>
    </w:p>
    <w:p w:rsidR="00493B0C" w:rsidRPr="00BA1223" w:rsidRDefault="0002572B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>
        <w:rPr>
          <w:sz w:val="14"/>
          <w:szCs w:val="14"/>
        </w:rPr>
        <w:t>*</w:t>
      </w:r>
      <w:r w:rsidR="00493B0C"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p w:rsidR="00F77BC5" w:rsidRPr="00BA1223" w:rsidRDefault="00F77BC5" w:rsidP="00333E15">
      <w:pPr>
        <w:ind w:hanging="284"/>
      </w:pPr>
    </w:p>
    <w:sectPr w:rsidR="00F77BC5" w:rsidRPr="00BA1223" w:rsidSect="008D01B3">
      <w:headerReference w:type="default" r:id="rId8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63" w:rsidRDefault="00034F63">
      <w:r>
        <w:separator/>
      </w:r>
    </w:p>
  </w:endnote>
  <w:endnote w:type="continuationSeparator" w:id="0">
    <w:p w:rsidR="00034F63" w:rsidRDefault="000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63" w:rsidRDefault="00034F63">
      <w:r>
        <w:separator/>
      </w:r>
    </w:p>
  </w:footnote>
  <w:footnote w:type="continuationSeparator" w:id="0">
    <w:p w:rsidR="00034F63" w:rsidRDefault="0003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471E33" w:rsidRPr="00471E33">
      <w:rPr>
        <w:noProof/>
        <w:sz w:val="24"/>
        <w:szCs w:val="24"/>
        <w:lang w:val="ru-RU"/>
      </w:rPr>
      <w:t>4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572B"/>
    <w:rsid w:val="00034F63"/>
    <w:rsid w:val="00036A10"/>
    <w:rsid w:val="00046A6E"/>
    <w:rsid w:val="000657AE"/>
    <w:rsid w:val="0008528E"/>
    <w:rsid w:val="000F3732"/>
    <w:rsid w:val="00122ADE"/>
    <w:rsid w:val="001301A7"/>
    <w:rsid w:val="0013382C"/>
    <w:rsid w:val="00153647"/>
    <w:rsid w:val="00210E20"/>
    <w:rsid w:val="00264537"/>
    <w:rsid w:val="002B6161"/>
    <w:rsid w:val="003056D3"/>
    <w:rsid w:val="003309E0"/>
    <w:rsid w:val="00333E15"/>
    <w:rsid w:val="0033622E"/>
    <w:rsid w:val="00372F6B"/>
    <w:rsid w:val="003B2F72"/>
    <w:rsid w:val="003B329E"/>
    <w:rsid w:val="00411CCC"/>
    <w:rsid w:val="004124B6"/>
    <w:rsid w:val="00412AE8"/>
    <w:rsid w:val="00437688"/>
    <w:rsid w:val="00471E33"/>
    <w:rsid w:val="00485697"/>
    <w:rsid w:val="00493B0C"/>
    <w:rsid w:val="004B42AC"/>
    <w:rsid w:val="004C76A8"/>
    <w:rsid w:val="0052271C"/>
    <w:rsid w:val="005316A9"/>
    <w:rsid w:val="005502CB"/>
    <w:rsid w:val="00551489"/>
    <w:rsid w:val="00585B28"/>
    <w:rsid w:val="005A1512"/>
    <w:rsid w:val="005C5A20"/>
    <w:rsid w:val="005D4989"/>
    <w:rsid w:val="005D58EA"/>
    <w:rsid w:val="0061775A"/>
    <w:rsid w:val="00633861"/>
    <w:rsid w:val="00635E8E"/>
    <w:rsid w:val="006654B4"/>
    <w:rsid w:val="0072163C"/>
    <w:rsid w:val="00770BCB"/>
    <w:rsid w:val="00783FB9"/>
    <w:rsid w:val="008D01B3"/>
    <w:rsid w:val="008E7398"/>
    <w:rsid w:val="008F5A1B"/>
    <w:rsid w:val="00900039"/>
    <w:rsid w:val="00950031"/>
    <w:rsid w:val="009613E4"/>
    <w:rsid w:val="0097698C"/>
    <w:rsid w:val="00977BFD"/>
    <w:rsid w:val="009D4D10"/>
    <w:rsid w:val="009E0581"/>
    <w:rsid w:val="00A168AB"/>
    <w:rsid w:val="00A21842"/>
    <w:rsid w:val="00A55D6F"/>
    <w:rsid w:val="00A906CA"/>
    <w:rsid w:val="00AC7EEA"/>
    <w:rsid w:val="00B22FA0"/>
    <w:rsid w:val="00B54254"/>
    <w:rsid w:val="00B70AA7"/>
    <w:rsid w:val="00BA1223"/>
    <w:rsid w:val="00BB06FD"/>
    <w:rsid w:val="00C06307"/>
    <w:rsid w:val="00C36C08"/>
    <w:rsid w:val="00C52631"/>
    <w:rsid w:val="00C70B27"/>
    <w:rsid w:val="00C902E8"/>
    <w:rsid w:val="00CB53C4"/>
    <w:rsid w:val="00CE0B59"/>
    <w:rsid w:val="00D00232"/>
    <w:rsid w:val="00D256A3"/>
    <w:rsid w:val="00D520D0"/>
    <w:rsid w:val="00D77219"/>
    <w:rsid w:val="00D92E0A"/>
    <w:rsid w:val="00D96906"/>
    <w:rsid w:val="00DC0886"/>
    <w:rsid w:val="00DC2A9F"/>
    <w:rsid w:val="00DD003D"/>
    <w:rsid w:val="00E3572A"/>
    <w:rsid w:val="00E455D0"/>
    <w:rsid w:val="00EB39B2"/>
    <w:rsid w:val="00EF28C0"/>
    <w:rsid w:val="00F03964"/>
    <w:rsid w:val="00F03E60"/>
    <w:rsid w:val="00F20F4A"/>
    <w:rsid w:val="00F77BC5"/>
    <w:rsid w:val="00F95894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373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9">
    <w:name w:val="Hyperlink"/>
    <w:uiPriority w:val="99"/>
    <w:unhideWhenUsed/>
    <w:rsid w:val="00085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373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9">
    <w:name w:val="Hyperlink"/>
    <w:uiPriority w:val="99"/>
    <w:unhideWhenUsed/>
    <w:rsid w:val="0008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CEA66-2C04-4E36-B836-C4AE61C0D526}"/>
</file>

<file path=customXml/itemProps2.xml><?xml version="1.0" encoding="utf-8"?>
<ds:datastoreItem xmlns:ds="http://schemas.openxmlformats.org/officeDocument/2006/customXml" ds:itemID="{04F596CE-A2ED-472E-A91A-5B891EB02602}"/>
</file>

<file path=customXml/itemProps3.xml><?xml version="1.0" encoding="utf-8"?>
<ds:datastoreItem xmlns:ds="http://schemas.openxmlformats.org/officeDocument/2006/customXml" ds:itemID="{D4230BA3-0508-49F6-B4C8-DE83056E5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5738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36</cp:revision>
  <dcterms:created xsi:type="dcterms:W3CDTF">2016-11-12T12:06:00Z</dcterms:created>
  <dcterms:modified xsi:type="dcterms:W3CDTF">2020-10-19T11:53:00Z</dcterms:modified>
</cp:coreProperties>
</file>